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3A2A4D" w:rsidRPr="002D10F6" w:rsidTr="00334827">
        <w:trPr>
          <w:trHeight w:val="425"/>
        </w:trPr>
        <w:tc>
          <w:tcPr>
            <w:tcW w:w="4198" w:type="dxa"/>
            <w:vAlign w:val="center"/>
          </w:tcPr>
          <w:p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  <w:rtl/>
              </w:rPr>
              <w:t>החברה הממשלתית להגנות מצוקי    חוף הים התיכון בע"מ</w:t>
            </w:r>
          </w:p>
        </w:tc>
        <w:tc>
          <w:tcPr>
            <w:tcW w:w="4930" w:type="dxa"/>
            <w:vAlign w:val="center"/>
          </w:tcPr>
          <w:p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</w:rPr>
              <w:t>The Mediterranean Coastal Cliffs   Preservation Government Company Ltd</w:t>
            </w:r>
          </w:p>
        </w:tc>
      </w:tr>
    </w:tbl>
    <w:p w:rsidR="003A2A4D" w:rsidRPr="002D10F6" w:rsidRDefault="003A2A4D" w:rsidP="003A2A4D">
      <w:pPr>
        <w:rPr>
          <w:rFonts w:ascii="David" w:hAnsi="David" w:cs="David"/>
        </w:rPr>
      </w:pPr>
      <w:r w:rsidRPr="002D10F6">
        <w:rPr>
          <w:rFonts w:ascii="David" w:hAnsi="David"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3E4732B8" wp14:editId="4C719A5B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A4D" w:rsidRPr="00BE797E" w:rsidRDefault="003A2A4D" w:rsidP="003A2A4D">
      <w:pPr>
        <w:spacing w:line="240" w:lineRule="auto"/>
        <w:ind w:left="360"/>
        <w:jc w:val="center"/>
        <w:rPr>
          <w:rFonts w:ascii="David" w:hAnsi="David" w:cs="David"/>
          <w:b/>
          <w:bCs/>
          <w:sz w:val="32"/>
          <w:szCs w:val="32"/>
        </w:rPr>
      </w:pPr>
      <w:r w:rsidRPr="00BE797E">
        <w:rPr>
          <w:rFonts w:ascii="David" w:hAnsi="David" w:cs="David"/>
          <w:b/>
          <w:bCs/>
          <w:sz w:val="32"/>
          <w:szCs w:val="32"/>
          <w:rtl/>
        </w:rPr>
        <w:t xml:space="preserve">מכרז פומבי מס' </w:t>
      </w:r>
      <w:r w:rsidR="007B7421">
        <w:rPr>
          <w:rFonts w:ascii="David" w:hAnsi="David" w:cs="David" w:hint="cs"/>
          <w:b/>
          <w:bCs/>
          <w:sz w:val="32"/>
          <w:szCs w:val="32"/>
          <w:rtl/>
        </w:rPr>
        <w:t>1/21</w:t>
      </w:r>
      <w:r w:rsidRPr="00BE797E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8C575B">
        <w:rPr>
          <w:rFonts w:ascii="David" w:hAnsi="David" w:cs="David" w:hint="cs"/>
          <w:b/>
          <w:bCs/>
          <w:sz w:val="32"/>
          <w:szCs w:val="32"/>
          <w:rtl/>
        </w:rPr>
        <w:t xml:space="preserve">לשירותיי </w:t>
      </w:r>
      <w:r w:rsidR="00254DB9">
        <w:rPr>
          <w:rFonts w:ascii="David" w:hAnsi="David" w:cs="David" w:hint="cs"/>
          <w:b/>
          <w:bCs/>
          <w:sz w:val="32"/>
          <w:szCs w:val="32"/>
          <w:rtl/>
        </w:rPr>
        <w:t>ייעוץ</w:t>
      </w:r>
      <w:r w:rsidR="007B7421">
        <w:rPr>
          <w:rFonts w:ascii="David" w:hAnsi="David" w:cs="David" w:hint="cs"/>
          <w:b/>
          <w:bCs/>
          <w:sz w:val="32"/>
          <w:szCs w:val="32"/>
          <w:rtl/>
        </w:rPr>
        <w:t xml:space="preserve"> בתח</w:t>
      </w:r>
      <w:r w:rsidR="0036721F">
        <w:rPr>
          <w:rFonts w:ascii="David" w:hAnsi="David" w:cs="David" w:hint="cs"/>
          <w:b/>
          <w:bCs/>
          <w:sz w:val="32"/>
          <w:szCs w:val="32"/>
          <w:rtl/>
        </w:rPr>
        <w:t>ו</w:t>
      </w:r>
      <w:r w:rsidR="007B7421">
        <w:rPr>
          <w:rFonts w:ascii="David" w:hAnsi="David" w:cs="David" w:hint="cs"/>
          <w:b/>
          <w:bCs/>
          <w:sz w:val="32"/>
          <w:szCs w:val="32"/>
          <w:rtl/>
        </w:rPr>
        <w:t>ם התקשורת</w:t>
      </w:r>
    </w:p>
    <w:p w:rsidR="003A2A4D" w:rsidRDefault="003A2A4D" w:rsidP="003A2A4D">
      <w:pPr>
        <w:spacing w:after="0" w:line="240" w:lineRule="auto"/>
        <w:jc w:val="both"/>
        <w:rPr>
          <w:rFonts w:ascii="David" w:eastAsia="Times New Roman" w:hAnsi="David" w:cs="David"/>
          <w:szCs w:val="24"/>
          <w:rtl/>
        </w:rPr>
      </w:pPr>
      <w:r w:rsidRPr="004D0BA5">
        <w:rPr>
          <w:rFonts w:ascii="David" w:hAnsi="David" w:cs="David"/>
          <w:sz w:val="24"/>
          <w:szCs w:val="24"/>
          <w:rtl/>
        </w:rPr>
        <w:t>החברה הממשלתית להגנות מצוקי חוף הים התיכון בע"מ (להלן:</w:t>
      </w:r>
      <w:r w:rsidRPr="004D0BA5">
        <w:rPr>
          <w:rFonts w:ascii="David" w:hAnsi="David" w:cs="David"/>
          <w:b/>
          <w:bCs/>
          <w:sz w:val="24"/>
          <w:szCs w:val="24"/>
          <w:rtl/>
        </w:rPr>
        <w:t xml:space="preserve"> "החברה"</w:t>
      </w:r>
      <w:r w:rsidRPr="004D0BA5">
        <w:rPr>
          <w:rFonts w:ascii="David" w:hAnsi="David" w:cs="David"/>
          <w:sz w:val="24"/>
          <w:szCs w:val="24"/>
          <w:rtl/>
        </w:rPr>
        <w:t>) מזמינה בזאת מציעים להציע הצעות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2D4E59">
        <w:rPr>
          <w:rFonts w:ascii="David" w:eastAsia="Times New Roman" w:hAnsi="David" w:cs="David" w:hint="cs"/>
          <w:sz w:val="24"/>
          <w:szCs w:val="24"/>
          <w:rtl/>
        </w:rPr>
        <w:t xml:space="preserve">לשירותיי </w:t>
      </w:r>
      <w:r w:rsidR="004F7CFE">
        <w:rPr>
          <w:rFonts w:ascii="David" w:eastAsia="Times New Roman" w:hAnsi="David" w:cs="David" w:hint="cs"/>
          <w:sz w:val="24"/>
          <w:szCs w:val="24"/>
          <w:rtl/>
        </w:rPr>
        <w:t>ייעוץ גאולוגי</w:t>
      </w:r>
      <w:r>
        <w:rPr>
          <w:rFonts w:ascii="David" w:eastAsia="Times New Roman" w:hAnsi="David" w:cs="David" w:hint="cs"/>
          <w:sz w:val="24"/>
          <w:szCs w:val="24"/>
          <w:rtl/>
        </w:rPr>
        <w:t>, והכל כמפורט בהרחבה במסמכי המכרז</w:t>
      </w:r>
      <w:r>
        <w:rPr>
          <w:rFonts w:ascii="David" w:eastAsia="Times New Roman" w:hAnsi="David" w:cs="David" w:hint="cs"/>
          <w:szCs w:val="24"/>
          <w:rtl/>
        </w:rPr>
        <w:t xml:space="preserve"> המלאים ה</w:t>
      </w:r>
      <w:r w:rsidRPr="00BE797E">
        <w:rPr>
          <w:rFonts w:ascii="David" w:eastAsia="Times New Roman" w:hAnsi="David" w:cs="David" w:hint="cs"/>
          <w:szCs w:val="24"/>
          <w:rtl/>
        </w:rPr>
        <w:t xml:space="preserve">מופיעים </w:t>
      </w:r>
      <w:r w:rsidRPr="00BE797E">
        <w:rPr>
          <w:rFonts w:ascii="David" w:eastAsia="Times New Roman" w:hAnsi="David" w:cs="David"/>
          <w:szCs w:val="24"/>
          <w:rtl/>
        </w:rPr>
        <w:t xml:space="preserve">באתר האינטרנט של החברה: </w:t>
      </w:r>
      <w:hyperlink r:id="rId9" w:history="1">
        <w:r w:rsidRPr="00BE797E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</w:rPr>
          <w:t>www.mccp.co.il</w:t>
        </w:r>
      </w:hyperlink>
      <w:r w:rsidRPr="00BE797E">
        <w:rPr>
          <w:rFonts w:ascii="David" w:eastAsia="Times New Roman" w:hAnsi="David" w:cs="David"/>
          <w:szCs w:val="24"/>
        </w:rPr>
        <w:t xml:space="preserve"> </w:t>
      </w:r>
      <w:r>
        <w:rPr>
          <w:rFonts w:ascii="David" w:eastAsia="Times New Roman" w:hAnsi="David" w:cs="David" w:hint="cs"/>
          <w:szCs w:val="24"/>
          <w:rtl/>
        </w:rPr>
        <w:t xml:space="preserve">. </w:t>
      </w:r>
    </w:p>
    <w:p w:rsidR="003A2A4D" w:rsidRPr="00BE797E" w:rsidRDefault="003A2A4D" w:rsidP="003A2A4D">
      <w:pPr>
        <w:spacing w:after="0" w:line="240" w:lineRule="auto"/>
        <w:jc w:val="both"/>
        <w:rPr>
          <w:rFonts w:ascii="David" w:eastAsia="Times New Roman" w:hAnsi="David" w:cs="David"/>
          <w:szCs w:val="24"/>
        </w:rPr>
      </w:pPr>
      <w:r w:rsidRPr="00BE797E">
        <w:rPr>
          <w:rFonts w:ascii="David" w:eastAsia="Times New Roman" w:hAnsi="David" w:cs="David"/>
          <w:szCs w:val="24"/>
          <w:rtl/>
        </w:rPr>
        <w:t>הנוסח המחייב את המציעים הוא הנוסח המלא</w:t>
      </w:r>
      <w:r>
        <w:rPr>
          <w:rFonts w:ascii="David" w:eastAsia="Times New Roman" w:hAnsi="David" w:cs="David" w:hint="cs"/>
          <w:szCs w:val="24"/>
          <w:rtl/>
        </w:rPr>
        <w:t xml:space="preserve"> המופיע באתר האינטרנט</w:t>
      </w:r>
      <w:r w:rsidRPr="00BE797E">
        <w:rPr>
          <w:rFonts w:ascii="David" w:eastAsia="Times New Roman" w:hAnsi="David" w:cs="David"/>
          <w:szCs w:val="24"/>
          <w:rtl/>
        </w:rPr>
        <w:t>.</w:t>
      </w:r>
    </w:p>
    <w:p w:rsidR="003A2A4D" w:rsidRPr="005B523E" w:rsidRDefault="003A2A4D" w:rsidP="003A2A4D">
      <w:pPr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</w:rPr>
      </w:pPr>
      <w:r w:rsidRPr="002D10F6">
        <w:rPr>
          <w:rFonts w:ascii="David" w:hAnsi="David" w:cs="David"/>
          <w:sz w:val="24"/>
          <w:szCs w:val="24"/>
          <w:rtl/>
        </w:rPr>
        <w:t>על המ</w:t>
      </w:r>
      <w:r>
        <w:rPr>
          <w:rFonts w:ascii="David" w:hAnsi="David" w:cs="David" w:hint="cs"/>
          <w:sz w:val="24"/>
          <w:szCs w:val="24"/>
          <w:rtl/>
        </w:rPr>
        <w:t xml:space="preserve">ציעים לעמוד </w:t>
      </w:r>
      <w:r w:rsidRPr="002D10F6">
        <w:rPr>
          <w:rFonts w:ascii="David" w:hAnsi="David" w:cs="David"/>
          <w:sz w:val="24"/>
          <w:szCs w:val="24"/>
          <w:rtl/>
        </w:rPr>
        <w:t>בתנאי הסף המפורטים להלן, ולעמוד ביתר התנאים והדרישות כמפורט בהרחבה בדרישות המכרז:</w:t>
      </w:r>
    </w:p>
    <w:p w:rsidR="0036721F" w:rsidRDefault="007770A1" w:rsidP="00D942B1">
      <w:pPr>
        <w:pStyle w:val="2"/>
        <w:tabs>
          <w:tab w:val="left" w:pos="164"/>
        </w:tabs>
        <w:spacing w:after="0" w:line="240" w:lineRule="auto"/>
        <w:contextualSpacing/>
        <w:rPr>
          <w:b w:val="0"/>
          <w:bCs w:val="0"/>
          <w:u w:val="none"/>
        </w:rPr>
      </w:pPr>
      <w:bookmarkStart w:id="0" w:name="_Ref513992157"/>
      <w:bookmarkStart w:id="1" w:name="_Ref519517005"/>
      <w:r>
        <w:rPr>
          <w:rFonts w:hint="cs"/>
          <w:b w:val="0"/>
          <w:bCs w:val="0"/>
          <w:u w:val="none"/>
          <w:rtl/>
        </w:rPr>
        <w:t xml:space="preserve"> </w:t>
      </w:r>
      <w:r w:rsidR="0036721F">
        <w:rPr>
          <w:rFonts w:hint="cs"/>
          <w:b w:val="0"/>
          <w:bCs w:val="0"/>
          <w:u w:val="none"/>
          <w:rtl/>
        </w:rPr>
        <w:t xml:space="preserve">המציע סיפק במהלך ה-5 שנים שקדמו למועד הגשת ההצעות למכרז, שירותיי ייעוץ בתחום התקשורת לגופים העוסקים בקידום פרויקטים בסביבה הימית והחופית, כאשר לכל גוף כאמור, סופקו השירותים לתקופה העולה על 18 חודשים. </w:t>
      </w:r>
    </w:p>
    <w:p w:rsidR="0036721F" w:rsidRPr="0036721F" w:rsidRDefault="0036721F" w:rsidP="0036721F">
      <w:pPr>
        <w:pStyle w:val="2"/>
        <w:tabs>
          <w:tab w:val="left" w:pos="164"/>
        </w:tabs>
        <w:spacing w:after="0" w:line="240" w:lineRule="auto"/>
        <w:contextualSpacing/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 המציע סיפק במהלך ה-5 שנים שקדמו למועד הגשת ההצעות במכרז שירותיי ייעוץ בתחום התקשורת ללפחות 2 גופים ציבוריים, כאשר לכל גוף כאמור, סופקו השירותים לתקופה העולה על 18 חודשים. </w:t>
      </w:r>
    </w:p>
    <w:p w:rsidR="0036721F" w:rsidRDefault="0036721F" w:rsidP="00D942B1">
      <w:pPr>
        <w:pStyle w:val="2"/>
        <w:tabs>
          <w:tab w:val="left" w:pos="164"/>
        </w:tabs>
        <w:spacing w:after="0" w:line="240" w:lineRule="auto"/>
        <w:contextualSpacing/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 המציע יציע מטעמו מנהל בכיר שירכז את מתן השירותים למזמין, אשר עליו להיות בעל ניסיון מקצועי מצטבר של לפחות 10 שנים בתחומי התקשורת, דוברות או יחסי ציבור. </w:t>
      </w:r>
    </w:p>
    <w:bookmarkEnd w:id="0"/>
    <w:bookmarkEnd w:id="1"/>
    <w:p w:rsidR="003A2A4D" w:rsidRDefault="003A2A4D" w:rsidP="003A2A4D">
      <w:pPr>
        <w:numPr>
          <w:ilvl w:val="0"/>
          <w:numId w:val="1"/>
        </w:numPr>
        <w:tabs>
          <w:tab w:val="left" w:pos="164"/>
        </w:tabs>
        <w:spacing w:after="0" w:line="240" w:lineRule="exact"/>
        <w:contextualSpacing/>
        <w:jc w:val="both"/>
        <w:rPr>
          <w:rFonts w:ascii="David" w:eastAsiaTheme="minorHAnsi" w:hAnsi="David" w:cs="David"/>
          <w:sz w:val="24"/>
          <w:szCs w:val="24"/>
        </w:rPr>
      </w:pPr>
      <w:r w:rsidRPr="004E778C">
        <w:rPr>
          <w:rFonts w:ascii="David" w:eastAsiaTheme="minorHAnsi" w:hAnsi="David" w:cs="David" w:hint="cs"/>
          <w:sz w:val="24"/>
          <w:szCs w:val="24"/>
          <w:rtl/>
        </w:rPr>
        <w:t>המועד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האחרון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להגשת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ההצעות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למכרז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(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על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כל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נספחיו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בהתאם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להוראות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המכרז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)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הינו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ביום</w:t>
      </w:r>
      <w:r w:rsidRPr="004E778C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="0036721F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5</w:t>
      </w:r>
      <w:r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.</w:t>
      </w:r>
      <w:r w:rsidR="0036721F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5</w:t>
      </w:r>
      <w:r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.</w:t>
      </w:r>
      <w:r w:rsidR="009346B2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21</w:t>
      </w:r>
      <w:r w:rsidRPr="004E778C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="009346B2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4E778C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עד</w:t>
      </w:r>
      <w:r w:rsidRPr="004E778C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Pr="004E778C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השעה</w:t>
      </w:r>
      <w:r w:rsidRPr="004E778C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12:00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 xml:space="preserve"> ולאחר תיאום טלפוני מראש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.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את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ההצעות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יש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להגיש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במסירה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אישית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(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לא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בדואר</w:t>
      </w:r>
      <w:r w:rsidRPr="004E778C">
        <w:rPr>
          <w:rFonts w:ascii="David" w:eastAsiaTheme="minorHAnsi" w:hAnsi="David" w:cs="David"/>
          <w:sz w:val="24"/>
          <w:szCs w:val="24"/>
          <w:rtl/>
        </w:rPr>
        <w:t>)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 xml:space="preserve"> במעטפות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סגורות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לתיבת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המכרזים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שבמשרדי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החברה</w:t>
      </w:r>
      <w:r w:rsidRPr="004E778C">
        <w:rPr>
          <w:rFonts w:ascii="David" w:eastAsiaTheme="minorHAnsi" w:hAnsi="David" w:cs="David"/>
          <w:sz w:val="24"/>
          <w:szCs w:val="24"/>
          <w:rtl/>
        </w:rPr>
        <w:t>.</w:t>
      </w:r>
      <w:r w:rsidR="0033581B">
        <w:rPr>
          <w:rFonts w:ascii="David" w:eastAsiaTheme="minorHAnsi" w:hAnsi="David" w:cs="David" w:hint="cs"/>
          <w:sz w:val="24"/>
          <w:szCs w:val="24"/>
          <w:rtl/>
        </w:rPr>
        <w:t xml:space="preserve">  </w:t>
      </w:r>
    </w:p>
    <w:p w:rsidR="003A2A4D" w:rsidRPr="00BE797E" w:rsidRDefault="003A2A4D" w:rsidP="003A2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במועד הגשת ההצעות המציע נדרש לעמוד בכול דרישות המכרז כלשונן. </w:t>
      </w:r>
    </w:p>
    <w:p w:rsidR="003A2A4D" w:rsidRDefault="003A2A4D" w:rsidP="003A2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האמור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במודעה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זו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אינו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ממצה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את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כל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תנאי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הסף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ותנאי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המכרז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,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והם  מופיעים במלואם במסמכי המכרז. בכל סתירה בין האמור בהודעה זו לאמור במסמכי המכרז 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–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תגבר ההוראה המופיעה במסמכי המכרז.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</w:p>
    <w:p w:rsidR="003A2A4D" w:rsidRPr="00BE797E" w:rsidRDefault="003A2A4D" w:rsidP="003A2A4D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bookmarkStart w:id="2" w:name="_GoBack"/>
      <w:bookmarkEnd w:id="2"/>
    </w:p>
    <w:p w:rsidR="003A2A4D" w:rsidRPr="00BE797E" w:rsidRDefault="003A2A4D" w:rsidP="003A2A4D">
      <w:pPr>
        <w:tabs>
          <w:tab w:val="left" w:pos="793"/>
        </w:tabs>
        <w:spacing w:after="0" w:line="240" w:lineRule="auto"/>
        <w:ind w:left="720"/>
        <w:contextualSpacing/>
        <w:jc w:val="both"/>
        <w:outlineLvl w:val="0"/>
        <w:rPr>
          <w:rFonts w:cs="David"/>
          <w:b/>
          <w:bCs/>
          <w:sz w:val="26"/>
          <w:szCs w:val="26"/>
          <w:rtl/>
        </w:rPr>
      </w:pPr>
      <w:r w:rsidRPr="00BE797E">
        <w:rPr>
          <w:rFonts w:cs="David"/>
          <w:b/>
          <w:bCs/>
          <w:sz w:val="26"/>
          <w:szCs w:val="26"/>
          <w:rtl/>
        </w:rPr>
        <w:tab/>
      </w:r>
      <w:r w:rsidRPr="00BE797E">
        <w:rPr>
          <w:rFonts w:cs="David"/>
          <w:b/>
          <w:bCs/>
          <w:sz w:val="26"/>
          <w:szCs w:val="26"/>
          <w:rtl/>
        </w:rPr>
        <w:tab/>
      </w:r>
      <w:r w:rsidRPr="00BE797E">
        <w:rPr>
          <w:rFonts w:cs="David"/>
          <w:b/>
          <w:bCs/>
          <w:sz w:val="26"/>
          <w:szCs w:val="26"/>
          <w:rtl/>
        </w:rPr>
        <w:tab/>
      </w:r>
      <w:r w:rsidRPr="00BE797E">
        <w:rPr>
          <w:rFonts w:cs="David"/>
          <w:b/>
          <w:bCs/>
          <w:sz w:val="26"/>
          <w:szCs w:val="26"/>
          <w:rtl/>
        </w:rPr>
        <w:tab/>
      </w:r>
      <w:r w:rsidRPr="00BE797E">
        <w:rPr>
          <w:rFonts w:cs="David"/>
          <w:b/>
          <w:bCs/>
          <w:sz w:val="26"/>
          <w:szCs w:val="26"/>
          <w:rtl/>
        </w:rPr>
        <w:tab/>
      </w:r>
      <w:r w:rsidRPr="00BE797E">
        <w:rPr>
          <w:rFonts w:cs="David"/>
          <w:b/>
          <w:bCs/>
          <w:sz w:val="26"/>
          <w:szCs w:val="26"/>
          <w:rtl/>
        </w:rPr>
        <w:tab/>
      </w:r>
    </w:p>
    <w:p w:rsidR="0036721F" w:rsidRPr="00E93EA3" w:rsidRDefault="0036721F" w:rsidP="0036721F">
      <w:pPr>
        <w:pStyle w:val="a0"/>
        <w:spacing w:line="360" w:lineRule="auto"/>
        <w:ind w:left="936" w:right="284" w:hanging="567"/>
        <w:jc w:val="both"/>
        <w:rPr>
          <w:rFonts w:eastAsiaTheme="minorHAnsi"/>
          <w:i/>
          <w:iCs/>
          <w:rtl/>
        </w:rPr>
      </w:pPr>
      <w:bookmarkStart w:id="3" w:name="_Hlk65594196"/>
    </w:p>
    <w:bookmarkEnd w:id="3"/>
    <w:p w:rsidR="0036721F" w:rsidRDefault="0036721F" w:rsidP="0036721F">
      <w:pPr>
        <w:pStyle w:val="a0"/>
        <w:spacing w:line="360" w:lineRule="auto"/>
        <w:ind w:left="502"/>
        <w:jc w:val="both"/>
        <w:rPr>
          <w:rFonts w:eastAsiaTheme="minorHAnsi"/>
          <w:rtl/>
        </w:rPr>
      </w:pPr>
    </w:p>
    <w:p w:rsidR="0036721F" w:rsidRPr="0036721F" w:rsidRDefault="0036721F" w:rsidP="0036721F">
      <w:pPr>
        <w:spacing w:line="360" w:lineRule="auto"/>
        <w:jc w:val="both"/>
        <w:rPr>
          <w:rFonts w:eastAsiaTheme="minorHAnsi"/>
        </w:rPr>
      </w:pPr>
    </w:p>
    <w:p w:rsidR="003A2A4D" w:rsidRPr="0036721F" w:rsidRDefault="003A2A4D" w:rsidP="003A2A4D"/>
    <w:p w:rsidR="007770A1" w:rsidRPr="007770A1" w:rsidRDefault="007770A1" w:rsidP="007770A1">
      <w:pPr>
        <w:spacing w:line="360" w:lineRule="auto"/>
        <w:ind w:right="284"/>
        <w:rPr>
          <w:rFonts w:eastAsiaTheme="minorHAnsi"/>
          <w:b/>
          <w:bCs/>
          <w:rtl/>
        </w:rPr>
      </w:pPr>
    </w:p>
    <w:p w:rsidR="003A2A4D" w:rsidRPr="0088141E" w:rsidRDefault="003A2A4D" w:rsidP="003A2A4D"/>
    <w:p w:rsidR="003A2A4D" w:rsidRPr="004D0BA5" w:rsidRDefault="003A2A4D" w:rsidP="003A2A4D"/>
    <w:p w:rsidR="00763A5D" w:rsidRPr="003A2A4D" w:rsidRDefault="00763A5D"/>
    <w:sectPr w:rsidR="00763A5D" w:rsidRPr="003A2A4D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34" w:rsidRDefault="007F2234" w:rsidP="009A3CC6">
      <w:pPr>
        <w:spacing w:after="0" w:line="240" w:lineRule="auto"/>
      </w:pPr>
      <w:r>
        <w:separator/>
      </w:r>
    </w:p>
  </w:endnote>
  <w:endnote w:type="continuationSeparator" w:id="0">
    <w:p w:rsidR="007F2234" w:rsidRDefault="007F2234" w:rsidP="009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34" w:rsidRDefault="007F2234" w:rsidP="009A3CC6">
      <w:pPr>
        <w:spacing w:after="0" w:line="240" w:lineRule="auto"/>
      </w:pPr>
      <w:r>
        <w:separator/>
      </w:r>
    </w:p>
  </w:footnote>
  <w:footnote w:type="continuationSeparator" w:id="0">
    <w:p w:rsidR="007F2234" w:rsidRDefault="007F2234" w:rsidP="009A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EA2"/>
    <w:multiLevelType w:val="multilevel"/>
    <w:tmpl w:val="09CE8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5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0" w:hanging="1440"/>
      </w:pPr>
      <w:rPr>
        <w:rFonts w:hint="default"/>
        <w:sz w:val="24"/>
      </w:rPr>
    </w:lvl>
  </w:abstractNum>
  <w:abstractNum w:abstractNumId="1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F76187"/>
    <w:multiLevelType w:val="hybridMultilevel"/>
    <w:tmpl w:val="8888746C"/>
    <w:lvl w:ilvl="0" w:tplc="189C78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abstractNum w:abstractNumId="4" w15:restartNumberingAfterBreak="0">
    <w:nsid w:val="686420BB"/>
    <w:multiLevelType w:val="multilevel"/>
    <w:tmpl w:val="F82C4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4D"/>
    <w:rsid w:val="00254DB9"/>
    <w:rsid w:val="002709E0"/>
    <w:rsid w:val="00275D26"/>
    <w:rsid w:val="002D4E59"/>
    <w:rsid w:val="002D7243"/>
    <w:rsid w:val="0033581B"/>
    <w:rsid w:val="0036721F"/>
    <w:rsid w:val="003A2A4D"/>
    <w:rsid w:val="003F1B1E"/>
    <w:rsid w:val="004F7CFE"/>
    <w:rsid w:val="006322FD"/>
    <w:rsid w:val="0067244B"/>
    <w:rsid w:val="00763A5D"/>
    <w:rsid w:val="007770A1"/>
    <w:rsid w:val="007B7421"/>
    <w:rsid w:val="007F2234"/>
    <w:rsid w:val="008C575B"/>
    <w:rsid w:val="009346B2"/>
    <w:rsid w:val="009833BC"/>
    <w:rsid w:val="009A3CC6"/>
    <w:rsid w:val="00A31F35"/>
    <w:rsid w:val="00A76A4B"/>
    <w:rsid w:val="00C62B9E"/>
    <w:rsid w:val="00D942B1"/>
    <w:rsid w:val="00E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699C"/>
  <w15:chartTrackingRefBased/>
  <w15:docId w15:val="{24646637-B4A6-43F9-A74A-5AC269A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4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0"/>
    <w:next w:val="a"/>
    <w:link w:val="10"/>
    <w:unhideWhenUsed/>
    <w:qFormat/>
    <w:rsid w:val="003A2A4D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nhideWhenUsed/>
    <w:qFormat/>
    <w:rsid w:val="003A2A4D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">
    <w:name w:val="heading 3"/>
    <w:basedOn w:val="a0"/>
    <w:next w:val="a"/>
    <w:link w:val="30"/>
    <w:unhideWhenUsed/>
    <w:qFormat/>
    <w:rsid w:val="003A2A4D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"/>
    <w:next w:val="a"/>
    <w:link w:val="60"/>
    <w:unhideWhenUsed/>
    <w:qFormat/>
    <w:rsid w:val="003A2A4D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3A2A4D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3A2A4D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0">
    <w:name w:val="כותרת 3 תו"/>
    <w:basedOn w:val="a1"/>
    <w:link w:val="3"/>
    <w:rsid w:val="003A2A4D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3A2A4D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A2A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uiPriority w:val="99"/>
    <w:rsid w:val="003A2A4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3A2A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aliases w:val="LP1,ShoshiStail"/>
    <w:basedOn w:val="a"/>
    <w:link w:val="a7"/>
    <w:uiPriority w:val="34"/>
    <w:qFormat/>
    <w:rsid w:val="003A2A4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A3CC6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1"/>
    <w:link w:val="a8"/>
    <w:uiPriority w:val="99"/>
    <w:semiHidden/>
    <w:rsid w:val="009A3CC6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9A3CC6"/>
    <w:rPr>
      <w:vertAlign w:val="superscript"/>
    </w:rPr>
  </w:style>
  <w:style w:type="character" w:customStyle="1" w:styleId="a7">
    <w:name w:val="פיסקת רשימה תו"/>
    <w:aliases w:val="LP1 תו,ShoshiStail תו"/>
    <w:link w:val="a0"/>
    <w:uiPriority w:val="34"/>
    <w:rsid w:val="007770A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cp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4178-AE22-40CC-81CC-71FF4936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 Liglam</cp:lastModifiedBy>
  <cp:revision>3</cp:revision>
  <dcterms:created xsi:type="dcterms:W3CDTF">2021-03-21T10:58:00Z</dcterms:created>
  <dcterms:modified xsi:type="dcterms:W3CDTF">2021-03-21T11:08:00Z</dcterms:modified>
</cp:coreProperties>
</file>